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6A470D0B" w:rsidR="00400E2E" w:rsidRDefault="00000000">
      <w:pPr>
        <w:tabs>
          <w:tab w:val="center" w:pos="4536"/>
          <w:tab w:val="right" w:pos="9072"/>
        </w:tabs>
        <w:rPr>
          <w:rFonts w:ascii="Arial" w:eastAsia="Batang" w:hAnsi="Arial" w:cs="Arial"/>
          <w:b/>
          <w:bCs/>
          <w:lang w:val="en-GB"/>
        </w:rPr>
      </w:pPr>
      <w:r>
        <w:rPr>
          <w:rFonts w:ascii="Arial" w:eastAsia="Batang" w:hAnsi="Arial" w:cs="Arial"/>
          <w:b/>
          <w:bCs/>
          <w:lang w:val="en-GB"/>
        </w:rPr>
        <w:t>3GPP TSG RAN WG1 #112</w:t>
      </w:r>
      <w:r>
        <w:rPr>
          <w:rFonts w:ascii="Arial" w:eastAsia="Batang" w:hAnsi="Arial" w:cs="Arial"/>
          <w:b/>
          <w:bCs/>
          <w:lang w:val="en-GB"/>
        </w:rPr>
        <w:tab/>
      </w:r>
      <w:r>
        <w:rPr>
          <w:rFonts w:ascii="Arial" w:eastAsia="Batang" w:hAnsi="Arial" w:cs="Arial"/>
          <w:b/>
          <w:bCs/>
          <w:lang w:val="en-GB"/>
        </w:rPr>
        <w:tab/>
        <w:t>R1-</w:t>
      </w:r>
      <w:r w:rsidR="00DB4B42">
        <w:rPr>
          <w:rFonts w:ascii="Arial" w:eastAsia="Batang" w:hAnsi="Arial" w:cs="Arial"/>
          <w:b/>
          <w:bCs/>
          <w:lang w:val="en-GB"/>
        </w:rPr>
        <w:t>2301664</w:t>
      </w:r>
    </w:p>
    <w:p w14:paraId="29CBC344" w14:textId="77777777" w:rsidR="00400E2E" w:rsidRDefault="00000000">
      <w:pPr>
        <w:tabs>
          <w:tab w:val="center" w:pos="4536"/>
          <w:tab w:val="right" w:pos="9072"/>
        </w:tabs>
        <w:rPr>
          <w:rFonts w:ascii="Arial" w:eastAsia="Batang" w:hAnsi="Arial" w:cs="Arial"/>
          <w:b/>
          <w:bCs/>
          <w:lang w:val="en-GB"/>
        </w:rPr>
      </w:pPr>
      <w:r>
        <w:rPr>
          <w:rFonts w:ascii="Arial" w:eastAsia="Batang" w:hAnsi="Arial" w:cs="Arial"/>
          <w:b/>
          <w:bCs/>
          <w:lang w:val="en-GB"/>
        </w:rPr>
        <w:t>Athens, Greece, February 27</w:t>
      </w:r>
      <w:r>
        <w:rPr>
          <w:rFonts w:ascii="Arial" w:eastAsia="Batang" w:hAnsi="Arial" w:cs="Arial"/>
          <w:b/>
          <w:bCs/>
          <w:vertAlign w:val="superscript"/>
          <w:lang w:val="en-GB"/>
        </w:rPr>
        <w:t>th</w:t>
      </w:r>
      <w:r>
        <w:rPr>
          <w:rFonts w:ascii="Arial" w:eastAsia="Batang" w:hAnsi="Arial" w:cs="Arial"/>
          <w:b/>
          <w:bCs/>
          <w:lang w:val="en-GB"/>
        </w:rPr>
        <w:t xml:space="preserve"> – March 5</w:t>
      </w:r>
      <w:r>
        <w:rPr>
          <w:rFonts w:ascii="Arial" w:eastAsia="Batang" w:hAnsi="Arial" w:cs="Arial"/>
          <w:b/>
          <w:bCs/>
          <w:vertAlign w:val="superscript"/>
          <w:lang w:val="en-GB"/>
        </w:rPr>
        <w:t>th</w:t>
      </w:r>
      <w:r>
        <w:rPr>
          <w:rFonts w:ascii="Arial" w:eastAsia="Batang" w:hAnsi="Arial" w:cs="Arial"/>
          <w:b/>
          <w:bCs/>
          <w:lang w:val="en-GB"/>
        </w:rPr>
        <w:t>, 2023</w:t>
      </w:r>
    </w:p>
    <w:p w14:paraId="090EBDE2" w14:textId="77777777" w:rsidR="00400E2E" w:rsidRDefault="00400E2E">
      <w:pPr>
        <w:tabs>
          <w:tab w:val="center" w:pos="4536"/>
          <w:tab w:val="right" w:pos="9072"/>
        </w:tabs>
        <w:rPr>
          <w:rFonts w:ascii="Arial" w:eastAsia="MS Mincho" w:hAnsi="Arial" w:cs="Arial"/>
          <w:b/>
          <w:bCs/>
          <w:lang w:val="en-GB" w:eastAsia="ja-JP"/>
        </w:rPr>
      </w:pPr>
    </w:p>
    <w:p w14:paraId="159737BC" w14:textId="77777777" w:rsidR="00400E2E" w:rsidRDefault="00000000">
      <w:pPr>
        <w:pStyle w:val="3GPPHeader"/>
        <w:rPr>
          <w:sz w:val="22"/>
          <w:szCs w:val="22"/>
        </w:rPr>
      </w:pPr>
      <w:r>
        <w:rPr>
          <w:sz w:val="22"/>
          <w:szCs w:val="22"/>
        </w:rPr>
        <w:t>Agenda Item:</w:t>
      </w:r>
      <w:r>
        <w:rPr>
          <w:sz w:val="22"/>
          <w:szCs w:val="22"/>
        </w:rPr>
        <w:tab/>
        <w:t>9.2.1</w:t>
      </w:r>
    </w:p>
    <w:p w14:paraId="6541D65A" w14:textId="41EE1513" w:rsidR="00400E2E" w:rsidRDefault="00000000">
      <w:pPr>
        <w:pStyle w:val="3GPPHeader"/>
        <w:rPr>
          <w:sz w:val="22"/>
          <w:szCs w:val="22"/>
        </w:rPr>
      </w:pPr>
      <w:r>
        <w:rPr>
          <w:sz w:val="22"/>
          <w:szCs w:val="22"/>
        </w:rPr>
        <w:t>Source:</w:t>
      </w:r>
      <w:r>
        <w:rPr>
          <w:sz w:val="22"/>
          <w:szCs w:val="22"/>
        </w:rPr>
        <w:tab/>
      </w:r>
      <w:r w:rsidR="00AE1C92" w:rsidRPr="00AE1C92">
        <w:rPr>
          <w:sz w:val="22"/>
          <w:szCs w:val="22"/>
        </w:rPr>
        <w:t>Indian Institute of Tech (M), CEWiT, IIT Kanpur</w:t>
      </w:r>
    </w:p>
    <w:p w14:paraId="29C9173C" w14:textId="77777777" w:rsidR="00400E2E" w:rsidRDefault="00000000">
      <w:pPr>
        <w:pStyle w:val="3GPPHeader"/>
        <w:rPr>
          <w:sz w:val="22"/>
          <w:szCs w:val="22"/>
        </w:rPr>
      </w:pPr>
      <w:r>
        <w:rPr>
          <w:sz w:val="22"/>
          <w:szCs w:val="22"/>
        </w:rPr>
        <w:t>Title:</w:t>
      </w:r>
      <w:r>
        <w:rPr>
          <w:sz w:val="22"/>
          <w:szCs w:val="22"/>
        </w:rPr>
        <w:tab/>
        <w:t>Identifying Procedures for General Aspects of AI/ML Frameworks</w:t>
      </w:r>
    </w:p>
    <w:p w14:paraId="228D18CA" w14:textId="77777777" w:rsidR="00400E2E" w:rsidRDefault="00000000">
      <w:pPr>
        <w:pStyle w:val="3GPPHeader"/>
        <w:rPr>
          <w:sz w:val="22"/>
          <w:szCs w:val="22"/>
        </w:rPr>
      </w:pPr>
      <w:r>
        <w:rPr>
          <w:sz w:val="22"/>
          <w:szCs w:val="22"/>
        </w:rPr>
        <w:t>Document for:</w:t>
      </w:r>
      <w:r>
        <w:rPr>
          <w:sz w:val="22"/>
          <w:szCs w:val="22"/>
        </w:rPr>
        <w:tab/>
        <w:t>Discussion</w:t>
      </w:r>
    </w:p>
    <w:p w14:paraId="19FCB582" w14:textId="77777777" w:rsidR="00400E2E" w:rsidRDefault="00000000">
      <w:pPr>
        <w:pStyle w:val="Heading1"/>
        <w:numPr>
          <w:ilvl w:val="0"/>
          <w:numId w:val="2"/>
        </w:numPr>
      </w:pPr>
      <w:r>
        <w:t>Introduction</w:t>
      </w:r>
    </w:p>
    <w:p w14:paraId="0ECBF194" w14:textId="77777777" w:rsidR="00400E2E" w:rsidRDefault="00000000">
      <w:pPr>
        <w:pStyle w:val="0Maintext"/>
        <w:spacing w:after="120" w:afterAutospacing="0" w:line="240" w:lineRule="auto"/>
        <w:ind w:firstLine="0"/>
        <w:rPr>
          <w:rFonts w:eastAsiaTheme="minorEastAsia"/>
          <w:lang w:val="en-US" w:eastAsia="zh-CN"/>
        </w:rPr>
      </w:pPr>
      <w:r>
        <w:rPr>
          <w:lang w:val="en-US"/>
        </w:rPr>
        <w:t>In RAN1 #111 [1], the following agreements on the general aspects of AI/ML framework have been reached.</w:t>
      </w:r>
    </w:p>
    <w:tbl>
      <w:tblPr>
        <w:tblStyle w:val="TableGrid"/>
        <w:tblW w:w="9010" w:type="dxa"/>
        <w:tblLook w:val="04A0" w:firstRow="1" w:lastRow="0" w:firstColumn="1" w:lastColumn="0" w:noHBand="0" w:noVBand="1"/>
      </w:tblPr>
      <w:tblGrid>
        <w:gridCol w:w="9010"/>
      </w:tblGrid>
      <w:tr w:rsidR="00400E2E" w14:paraId="60F4A8D6" w14:textId="77777777">
        <w:tc>
          <w:tcPr>
            <w:tcW w:w="9010" w:type="dxa"/>
          </w:tcPr>
          <w:p w14:paraId="40FF7AD4"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shd w:val="clear" w:color="auto" w:fill="00FF00"/>
              </w:rPr>
              <w:t>Agreement</w:t>
            </w:r>
          </w:p>
          <w:p w14:paraId="2417FC78"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For UE-part/UE-side models, study the following mechanisms for LCM procedures:</w:t>
            </w:r>
          </w:p>
          <w:p w14:paraId="473D5F2F" w14:textId="77777777" w:rsidR="00400E2E" w:rsidRDefault="00000000">
            <w:pPr>
              <w:pStyle w:val="NormalWeb"/>
              <w:numPr>
                <w:ilvl w:val="0"/>
                <w:numId w:val="3"/>
              </w:numPr>
              <w:spacing w:beforeAutospacing="0" w:afterAutospacing="0"/>
              <w:textAlignment w:val="baseline"/>
              <w:rPr>
                <w:rFonts w:ascii="Arial" w:hAnsi="Arial" w:cs="Arial"/>
                <w:color w:val="000000"/>
                <w:sz w:val="20"/>
                <w:szCs w:val="20"/>
              </w:rPr>
            </w:pPr>
            <w:r>
              <w:rPr>
                <w:rFonts w:ascii="Times" w:eastAsiaTheme="minorEastAsia" w:hAnsi="Times" w:cs="Times"/>
                <w:color w:val="000000"/>
                <w:sz w:val="20"/>
                <w:szCs w:val="20"/>
                <w:lang w:val="en-US" w:eastAsia="zh-CN"/>
              </w:rPr>
              <w:t>For functionality-based LCM procedure: indication of activation/deactivation/switching/fallback based on individual AI/ML functionality</w:t>
            </w:r>
          </w:p>
          <w:p w14:paraId="187974E1" w14:textId="77777777" w:rsidR="00400E2E" w:rsidRDefault="00000000">
            <w:pPr>
              <w:pStyle w:val="NormalWeb"/>
              <w:numPr>
                <w:ilvl w:val="1"/>
                <w:numId w:val="9"/>
              </w:numPr>
              <w:spacing w:beforeAutospacing="0" w:afterAutospacing="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Note: UE may have one AI/ML model for the functionality, or UE may have multiple AI/ML models for the functionality.</w:t>
            </w:r>
          </w:p>
          <w:p w14:paraId="0685974F" w14:textId="77777777" w:rsidR="00400E2E" w:rsidRDefault="00000000">
            <w:pPr>
              <w:pStyle w:val="NormalWeb"/>
              <w:numPr>
                <w:ilvl w:val="1"/>
                <w:numId w:val="10"/>
              </w:numPr>
              <w:spacing w:beforeAutospacing="0" w:afterAutospacing="0"/>
              <w:textAlignment w:val="baseline"/>
              <w:rPr>
                <w:rFonts w:ascii="Courier New" w:hAnsi="Courier New" w:cs="Courier New"/>
                <w:color w:val="000000"/>
                <w:sz w:val="20"/>
                <w:szCs w:val="20"/>
              </w:rPr>
            </w:pPr>
            <w:r>
              <w:rPr>
                <w:rFonts w:ascii="Times" w:eastAsiaTheme="minorEastAsia" w:hAnsi="Times" w:cs="Times"/>
                <w:color w:val="000000"/>
                <w:sz w:val="20"/>
                <w:szCs w:val="20"/>
                <w:lang w:val="en-US" w:eastAsia="zh-CN"/>
              </w:rPr>
              <w:t>FFS: Whether or how to indicate Functionality</w:t>
            </w:r>
          </w:p>
          <w:p w14:paraId="4E0A74AF" w14:textId="77777777" w:rsidR="00400E2E" w:rsidRDefault="00000000">
            <w:pPr>
              <w:pStyle w:val="NormalWeb"/>
              <w:numPr>
                <w:ilvl w:val="0"/>
                <w:numId w:val="3"/>
              </w:numPr>
              <w:spacing w:beforeAutospacing="0" w:after="180" w:afterAutospacing="0"/>
              <w:textAlignment w:val="baseline"/>
              <w:rPr>
                <w:rFonts w:ascii="Arial" w:hAnsi="Arial" w:cs="Arial"/>
                <w:color w:val="000000"/>
                <w:sz w:val="20"/>
                <w:szCs w:val="20"/>
              </w:rPr>
            </w:pPr>
            <w:r>
              <w:rPr>
                <w:rFonts w:ascii="Times" w:eastAsiaTheme="minorEastAsia" w:hAnsi="Times" w:cs="Times"/>
                <w:color w:val="000000"/>
                <w:sz w:val="20"/>
                <w:szCs w:val="20"/>
                <w:lang w:val="en-US" w:eastAsia="zh-CN"/>
              </w:rPr>
              <w:t>For model-ID-based LCM procedure, indication of model selection/activation/deactivation/switching/fallback based on individual model IDs</w:t>
            </w:r>
          </w:p>
          <w:p w14:paraId="022B4641" w14:textId="77777777" w:rsidR="00400E2E" w:rsidRDefault="00400E2E">
            <w:pPr>
              <w:spacing w:after="240"/>
              <w:rPr>
                <w:rFonts w:eastAsiaTheme="minorEastAsia"/>
              </w:rPr>
            </w:pPr>
          </w:p>
          <w:p w14:paraId="5132D593"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shd w:val="clear" w:color="auto" w:fill="808000"/>
              </w:rPr>
              <w:t>Working Assumption</w:t>
            </w:r>
          </w:p>
          <w:p w14:paraId="26383775" w14:textId="77777777" w:rsidR="00400E2E" w:rsidRDefault="00000000">
            <w:pPr>
              <w:pStyle w:val="NormalWeb"/>
              <w:spacing w:beforeAutospacing="0" w:afterAutospacing="0"/>
              <w:jc w:val="both"/>
              <w:rPr>
                <w:rFonts w:eastAsiaTheme="minorEastAsia"/>
              </w:rPr>
            </w:pPr>
            <w:r>
              <w:rPr>
                <w:rFonts w:ascii="Times" w:eastAsiaTheme="minorEastAsia" w:hAnsi="Times" w:cs="Times"/>
                <w:color w:val="000000"/>
                <w:sz w:val="20"/>
                <w:szCs w:val="20"/>
              </w:rPr>
              <w:t>Consider “proprietary model” and “open-format model” as two separate model format categories for RAN1 discussion, </w:t>
            </w:r>
          </w:p>
          <w:p w14:paraId="55B43FD2" w14:textId="77777777" w:rsidR="00400E2E" w:rsidRDefault="00400E2E">
            <w:pPr>
              <w:rPr>
                <w:rFonts w:eastAsiaTheme="minorEastAsia"/>
              </w:rPr>
            </w:pPr>
          </w:p>
          <w:tbl>
            <w:tblPr>
              <w:tblW w:w="8774" w:type="dxa"/>
              <w:tblCellMar>
                <w:top w:w="15" w:type="dxa"/>
                <w:left w:w="51" w:type="dxa"/>
                <w:right w:w="51" w:type="dxa"/>
              </w:tblCellMar>
              <w:tblLook w:val="04A0" w:firstRow="1" w:lastRow="0" w:firstColumn="1" w:lastColumn="0" w:noHBand="0" w:noVBand="1"/>
            </w:tblPr>
            <w:tblGrid>
              <w:gridCol w:w="1793"/>
              <w:gridCol w:w="6981"/>
            </w:tblGrid>
            <w:tr w:rsidR="00400E2E" w14:paraId="0D9A541B" w14:textId="77777777">
              <w:trPr>
                <w:trHeight w:val="410"/>
              </w:trPr>
              <w:tc>
                <w:tcPr>
                  <w:tcW w:w="1793" w:type="dxa"/>
                  <w:tcBorders>
                    <w:top w:val="single" w:sz="8" w:space="0" w:color="000000"/>
                    <w:left w:val="single" w:sz="8" w:space="0" w:color="000000"/>
                    <w:bottom w:val="single" w:sz="8" w:space="0" w:color="000000"/>
                    <w:right w:val="single" w:sz="8" w:space="0" w:color="000000"/>
                  </w:tcBorders>
                </w:tcPr>
                <w:p w14:paraId="7F013D97" w14:textId="77777777" w:rsidR="00400E2E" w:rsidRDefault="00000000">
                  <w:pPr>
                    <w:pStyle w:val="NormalWeb"/>
                    <w:spacing w:beforeAutospacing="0" w:afterAutospacing="0"/>
                    <w:jc w:val="both"/>
                    <w:rPr>
                      <w:rFonts w:eastAsiaTheme="minorEastAsia"/>
                    </w:rPr>
                  </w:pPr>
                  <w:r>
                    <w:rPr>
                      <w:rFonts w:ascii="Times" w:eastAsiaTheme="minorEastAsia" w:hAnsi="Times" w:cs="Times"/>
                      <w:color w:val="000000"/>
                      <w:sz w:val="20"/>
                      <w:szCs w:val="20"/>
                    </w:rPr>
                    <w:t>Proprietary-format models</w:t>
                  </w:r>
                </w:p>
              </w:tc>
              <w:tc>
                <w:tcPr>
                  <w:tcW w:w="6980" w:type="dxa"/>
                  <w:tcBorders>
                    <w:top w:val="single" w:sz="8" w:space="0" w:color="000000"/>
                    <w:left w:val="single" w:sz="8" w:space="0" w:color="000000"/>
                    <w:bottom w:val="single" w:sz="8" w:space="0" w:color="000000"/>
                    <w:right w:val="single" w:sz="8" w:space="0" w:color="000000"/>
                  </w:tcBorders>
                </w:tcPr>
                <w:p w14:paraId="6DA4D60B"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ML models of vendor-/device-specific proprietary format, from 3GPP perspective</w:t>
                  </w:r>
                </w:p>
                <w:p w14:paraId="67B45E80"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NOTE: An example is a device-specific binary executable format</w:t>
                  </w:r>
                </w:p>
              </w:tc>
            </w:tr>
            <w:tr w:rsidR="00400E2E" w14:paraId="52570191" w14:textId="77777777">
              <w:trPr>
                <w:trHeight w:val="410"/>
              </w:trPr>
              <w:tc>
                <w:tcPr>
                  <w:tcW w:w="1793" w:type="dxa"/>
                  <w:tcBorders>
                    <w:top w:val="single" w:sz="8" w:space="0" w:color="000000"/>
                    <w:left w:val="single" w:sz="8" w:space="0" w:color="000000"/>
                    <w:bottom w:val="single" w:sz="8" w:space="0" w:color="000000"/>
                    <w:right w:val="single" w:sz="8" w:space="0" w:color="000000"/>
                  </w:tcBorders>
                </w:tcPr>
                <w:p w14:paraId="74995018" w14:textId="77777777" w:rsidR="00400E2E" w:rsidRDefault="00000000">
                  <w:pPr>
                    <w:pStyle w:val="NormalWeb"/>
                    <w:spacing w:beforeAutospacing="0" w:afterAutospacing="0"/>
                    <w:jc w:val="both"/>
                    <w:rPr>
                      <w:rFonts w:eastAsiaTheme="minorEastAsia"/>
                    </w:rPr>
                  </w:pPr>
                  <w:r>
                    <w:rPr>
                      <w:rFonts w:ascii="Times" w:eastAsiaTheme="minorEastAsia" w:hAnsi="Times" w:cs="Times"/>
                      <w:color w:val="000000"/>
                      <w:sz w:val="20"/>
                      <w:szCs w:val="20"/>
                    </w:rPr>
                    <w:t>Open-format models</w:t>
                  </w:r>
                </w:p>
              </w:tc>
              <w:tc>
                <w:tcPr>
                  <w:tcW w:w="6980" w:type="dxa"/>
                  <w:tcBorders>
                    <w:top w:val="single" w:sz="8" w:space="0" w:color="000000"/>
                    <w:left w:val="single" w:sz="8" w:space="0" w:color="000000"/>
                    <w:bottom w:val="single" w:sz="8" w:space="0" w:color="000000"/>
                    <w:right w:val="single" w:sz="8" w:space="0" w:color="000000"/>
                  </w:tcBorders>
                </w:tcPr>
                <w:p w14:paraId="38A2A314"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 xml:space="preserve">ML models of specified format that are mutually recognizable across vendors and allow interoperability, from 3GPP </w:t>
                  </w:r>
                  <w:proofErr w:type="spellStart"/>
                  <w:r>
                    <w:rPr>
                      <w:rFonts w:ascii="Times" w:eastAsiaTheme="minorEastAsia" w:hAnsi="Times" w:cs="Times"/>
                      <w:color w:val="000000"/>
                      <w:sz w:val="20"/>
                      <w:szCs w:val="20"/>
                    </w:rPr>
                    <w:t>perspecive</w:t>
                  </w:r>
                  <w:proofErr w:type="spellEnd"/>
                </w:p>
              </w:tc>
            </w:tr>
          </w:tbl>
          <w:p w14:paraId="6EE40691"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From RAN1 discussion viewpoint, RAN1 may assume that:</w:t>
            </w:r>
          </w:p>
          <w:p w14:paraId="3CDCE249" w14:textId="77777777" w:rsidR="00400E2E" w:rsidRDefault="00000000">
            <w:pPr>
              <w:pStyle w:val="NormalWeb"/>
              <w:numPr>
                <w:ilvl w:val="0"/>
                <w:numId w:val="6"/>
              </w:numPr>
              <w:spacing w:beforeAutospacing="0" w:afterAutospacing="0"/>
              <w:ind w:left="480"/>
              <w:textAlignment w:val="baseline"/>
              <w:rPr>
                <w:rFonts w:ascii="Arial" w:hAnsi="Arial" w:cs="Arial"/>
                <w:color w:val="000000"/>
                <w:sz w:val="20"/>
                <w:szCs w:val="20"/>
              </w:rPr>
            </w:pPr>
            <w:r>
              <w:rPr>
                <w:rFonts w:ascii="Times" w:eastAsiaTheme="minorEastAsia" w:hAnsi="Times" w:cs="Times"/>
                <w:color w:val="000000"/>
                <w:sz w:val="20"/>
                <w:szCs w:val="20"/>
                <w:lang w:val="en-US" w:eastAsia="zh-CN"/>
              </w:rPr>
              <w:t>Proprietary-format models are not mutually recognizable across vendors, hide model design information from other vendors when shared.</w:t>
            </w:r>
          </w:p>
          <w:p w14:paraId="00E1DCDF" w14:textId="77777777" w:rsidR="00400E2E" w:rsidRDefault="00000000">
            <w:pPr>
              <w:pStyle w:val="NormalWeb"/>
              <w:numPr>
                <w:ilvl w:val="0"/>
                <w:numId w:val="6"/>
              </w:numPr>
              <w:spacing w:beforeAutospacing="0" w:afterAutospacing="0"/>
              <w:ind w:left="480"/>
              <w:textAlignment w:val="baseline"/>
              <w:rPr>
                <w:rFonts w:ascii="Arial" w:hAnsi="Arial" w:cs="Arial"/>
                <w:color w:val="000000"/>
                <w:sz w:val="20"/>
                <w:szCs w:val="20"/>
              </w:rPr>
            </w:pPr>
            <w:r>
              <w:rPr>
                <w:rFonts w:ascii="Times" w:eastAsiaTheme="minorEastAsia" w:hAnsi="Times" w:cs="Times"/>
                <w:color w:val="000000"/>
                <w:sz w:val="20"/>
                <w:szCs w:val="20"/>
                <w:lang w:val="en-US" w:eastAsia="zh-CN"/>
              </w:rPr>
              <w:t>Open-format models are mutually recognizable between vendors, do not hide model design information from other vendors when shared</w:t>
            </w:r>
          </w:p>
          <w:p w14:paraId="73E2FC06" w14:textId="77777777" w:rsidR="00400E2E" w:rsidRDefault="00400E2E">
            <w:pPr>
              <w:rPr>
                <w:rFonts w:eastAsiaTheme="minorEastAsia"/>
              </w:rPr>
            </w:pPr>
          </w:p>
          <w:p w14:paraId="65EB680B"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shd w:val="clear" w:color="auto" w:fill="808000"/>
              </w:rPr>
              <w:t>Working Assumption </w:t>
            </w:r>
          </w:p>
          <w:tbl>
            <w:tblPr>
              <w:tblW w:w="8774" w:type="dxa"/>
              <w:tblCellMar>
                <w:left w:w="115" w:type="dxa"/>
                <w:right w:w="115" w:type="dxa"/>
              </w:tblCellMar>
              <w:tblLook w:val="04A0" w:firstRow="1" w:lastRow="0" w:firstColumn="1" w:lastColumn="0" w:noHBand="0" w:noVBand="1"/>
            </w:tblPr>
            <w:tblGrid>
              <w:gridCol w:w="1716"/>
              <w:gridCol w:w="7058"/>
            </w:tblGrid>
            <w:tr w:rsidR="00400E2E" w14:paraId="2167E896" w14:textId="77777777">
              <w:tc>
                <w:tcPr>
                  <w:tcW w:w="1716" w:type="dxa"/>
                  <w:tcBorders>
                    <w:top w:val="single" w:sz="8" w:space="0" w:color="000000"/>
                    <w:left w:val="single" w:sz="8" w:space="0" w:color="000000"/>
                    <w:bottom w:val="single" w:sz="8" w:space="0" w:color="000000"/>
                    <w:right w:val="single" w:sz="8" w:space="0" w:color="000000"/>
                  </w:tcBorders>
                </w:tcPr>
                <w:p w14:paraId="130348BD"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Terminology</w:t>
                  </w:r>
                </w:p>
              </w:tc>
              <w:tc>
                <w:tcPr>
                  <w:tcW w:w="7057" w:type="dxa"/>
                  <w:tcBorders>
                    <w:top w:val="single" w:sz="8" w:space="0" w:color="000000"/>
                    <w:left w:val="single" w:sz="8" w:space="0" w:color="000000"/>
                    <w:bottom w:val="single" w:sz="8" w:space="0" w:color="000000"/>
                    <w:right w:val="single" w:sz="8" w:space="0" w:color="000000"/>
                  </w:tcBorders>
                </w:tcPr>
                <w:p w14:paraId="000A2CDE"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Description</w:t>
                  </w:r>
                </w:p>
              </w:tc>
            </w:tr>
            <w:tr w:rsidR="00400E2E" w14:paraId="7A5D3C03" w14:textId="77777777">
              <w:tc>
                <w:tcPr>
                  <w:tcW w:w="1716" w:type="dxa"/>
                  <w:tcBorders>
                    <w:top w:val="single" w:sz="8" w:space="0" w:color="000000"/>
                    <w:left w:val="single" w:sz="8" w:space="0" w:color="000000"/>
                    <w:bottom w:val="single" w:sz="8" w:space="0" w:color="000000"/>
                    <w:right w:val="single" w:sz="8" w:space="0" w:color="000000"/>
                  </w:tcBorders>
                </w:tcPr>
                <w:p w14:paraId="2A529537"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Model identification</w:t>
                  </w:r>
                </w:p>
              </w:tc>
              <w:tc>
                <w:tcPr>
                  <w:tcW w:w="7057" w:type="dxa"/>
                  <w:tcBorders>
                    <w:top w:val="single" w:sz="8" w:space="0" w:color="000000"/>
                    <w:left w:val="single" w:sz="8" w:space="0" w:color="000000"/>
                    <w:bottom w:val="single" w:sz="8" w:space="0" w:color="000000"/>
                    <w:right w:val="single" w:sz="8" w:space="0" w:color="000000"/>
                  </w:tcBorders>
                </w:tcPr>
                <w:p w14:paraId="3D333479"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A process/method of identifying an AI/ML model for the common understanding between the NW and the UE</w:t>
                  </w:r>
                </w:p>
                <w:p w14:paraId="7070E976"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Note: The process/method of model identification may or may not be applicable.</w:t>
                  </w:r>
                </w:p>
                <w:p w14:paraId="36B93619"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Note: Information regarding the AI/ML model may be shared during model identification.</w:t>
                  </w:r>
                </w:p>
              </w:tc>
            </w:tr>
          </w:tbl>
          <w:p w14:paraId="65D4449C" w14:textId="77777777" w:rsidR="00400E2E" w:rsidRDefault="00400E2E">
            <w:pPr>
              <w:rPr>
                <w:rFonts w:eastAsiaTheme="minorEastAsia"/>
              </w:rPr>
            </w:pPr>
          </w:p>
          <w:tbl>
            <w:tblPr>
              <w:tblW w:w="8774" w:type="dxa"/>
              <w:tblCellMar>
                <w:left w:w="115" w:type="dxa"/>
                <w:right w:w="115" w:type="dxa"/>
              </w:tblCellMar>
              <w:tblLook w:val="04A0" w:firstRow="1" w:lastRow="0" w:firstColumn="1" w:lastColumn="0" w:noHBand="0" w:noVBand="1"/>
            </w:tblPr>
            <w:tblGrid>
              <w:gridCol w:w="2020"/>
              <w:gridCol w:w="6754"/>
            </w:tblGrid>
            <w:tr w:rsidR="00400E2E" w14:paraId="1A4D223F" w14:textId="77777777">
              <w:tc>
                <w:tcPr>
                  <w:tcW w:w="2020" w:type="dxa"/>
                  <w:tcBorders>
                    <w:top w:val="single" w:sz="8" w:space="0" w:color="000000"/>
                    <w:left w:val="single" w:sz="8" w:space="0" w:color="000000"/>
                    <w:bottom w:val="single" w:sz="8" w:space="0" w:color="000000"/>
                    <w:right w:val="single" w:sz="8" w:space="0" w:color="000000"/>
                  </w:tcBorders>
                </w:tcPr>
                <w:p w14:paraId="1B5908E3"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Terminology</w:t>
                  </w:r>
                </w:p>
              </w:tc>
              <w:tc>
                <w:tcPr>
                  <w:tcW w:w="6753" w:type="dxa"/>
                  <w:tcBorders>
                    <w:top w:val="single" w:sz="8" w:space="0" w:color="000000"/>
                    <w:left w:val="single" w:sz="8" w:space="0" w:color="000000"/>
                    <w:bottom w:val="single" w:sz="8" w:space="0" w:color="000000"/>
                    <w:right w:val="single" w:sz="8" w:space="0" w:color="000000"/>
                  </w:tcBorders>
                </w:tcPr>
                <w:p w14:paraId="41B6BBBD"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Description</w:t>
                  </w:r>
                </w:p>
              </w:tc>
            </w:tr>
            <w:tr w:rsidR="00400E2E" w14:paraId="7BE3F015" w14:textId="77777777">
              <w:tc>
                <w:tcPr>
                  <w:tcW w:w="2020" w:type="dxa"/>
                  <w:tcBorders>
                    <w:top w:val="single" w:sz="8" w:space="0" w:color="000000"/>
                    <w:left w:val="single" w:sz="8" w:space="0" w:color="000000"/>
                    <w:bottom w:val="single" w:sz="8" w:space="0" w:color="000000"/>
                    <w:right w:val="single" w:sz="8" w:space="0" w:color="000000"/>
                  </w:tcBorders>
                </w:tcPr>
                <w:p w14:paraId="1C278389"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Functionality identification</w:t>
                  </w:r>
                </w:p>
              </w:tc>
              <w:tc>
                <w:tcPr>
                  <w:tcW w:w="6753" w:type="dxa"/>
                  <w:tcBorders>
                    <w:top w:val="single" w:sz="8" w:space="0" w:color="000000"/>
                    <w:left w:val="single" w:sz="8" w:space="0" w:color="000000"/>
                    <w:bottom w:val="single" w:sz="8" w:space="0" w:color="000000"/>
                    <w:right w:val="single" w:sz="8" w:space="0" w:color="000000"/>
                  </w:tcBorders>
                </w:tcPr>
                <w:p w14:paraId="32EDDE89"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A process/method of identifying an AI/ML functionality for the common understanding between the NW and the UE</w:t>
                  </w:r>
                </w:p>
                <w:p w14:paraId="6A7EF759"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Note: Information regarding the AI/ML functionality may be shared during functionality identification.</w:t>
                  </w:r>
                </w:p>
                <w:p w14:paraId="23E3F969"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FFS: granularity of functionality</w:t>
                  </w:r>
                </w:p>
              </w:tc>
            </w:tr>
          </w:tbl>
          <w:p w14:paraId="727E45A5"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Note: whether and how to indicate Functionality will be discussed separately. </w:t>
            </w:r>
          </w:p>
          <w:p w14:paraId="7142BA0F" w14:textId="77777777" w:rsidR="00400E2E" w:rsidRDefault="00400E2E">
            <w:pPr>
              <w:rPr>
                <w:rFonts w:eastAsiaTheme="minorEastAsia"/>
              </w:rPr>
            </w:pPr>
          </w:p>
          <w:p w14:paraId="27E8B9AD"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shd w:val="clear" w:color="auto" w:fill="808000"/>
              </w:rPr>
              <w:t>Working Assumption</w:t>
            </w:r>
          </w:p>
          <w:tbl>
            <w:tblPr>
              <w:tblW w:w="8530" w:type="dxa"/>
              <w:tblCellMar>
                <w:left w:w="115" w:type="dxa"/>
                <w:right w:w="115" w:type="dxa"/>
              </w:tblCellMar>
              <w:tblLook w:val="04A0" w:firstRow="1" w:lastRow="0" w:firstColumn="1" w:lastColumn="0" w:noHBand="0" w:noVBand="1"/>
            </w:tblPr>
            <w:tblGrid>
              <w:gridCol w:w="2184"/>
              <w:gridCol w:w="6346"/>
            </w:tblGrid>
            <w:tr w:rsidR="00400E2E" w14:paraId="710AF4DD" w14:textId="77777777">
              <w:tc>
                <w:tcPr>
                  <w:tcW w:w="2184" w:type="dxa"/>
                  <w:tcBorders>
                    <w:top w:val="single" w:sz="4" w:space="0" w:color="000000"/>
                    <w:left w:val="single" w:sz="4" w:space="0" w:color="000000"/>
                    <w:bottom w:val="single" w:sz="4" w:space="0" w:color="000000"/>
                    <w:right w:val="single" w:sz="4" w:space="0" w:color="000000"/>
                  </w:tcBorders>
                </w:tcPr>
                <w:p w14:paraId="2627EECD"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Terminology</w:t>
                  </w:r>
                </w:p>
              </w:tc>
              <w:tc>
                <w:tcPr>
                  <w:tcW w:w="6345" w:type="dxa"/>
                  <w:tcBorders>
                    <w:top w:val="single" w:sz="4" w:space="0" w:color="000000"/>
                    <w:left w:val="single" w:sz="4" w:space="0" w:color="000000"/>
                    <w:bottom w:val="single" w:sz="4" w:space="0" w:color="000000"/>
                    <w:right w:val="single" w:sz="4" w:space="0" w:color="000000"/>
                  </w:tcBorders>
                </w:tcPr>
                <w:p w14:paraId="6500F6DA"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Description</w:t>
                  </w:r>
                </w:p>
              </w:tc>
            </w:tr>
            <w:tr w:rsidR="00400E2E" w14:paraId="2A204309" w14:textId="77777777">
              <w:tc>
                <w:tcPr>
                  <w:tcW w:w="2184" w:type="dxa"/>
                  <w:tcBorders>
                    <w:top w:val="single" w:sz="4" w:space="0" w:color="000000"/>
                    <w:left w:val="single" w:sz="4" w:space="0" w:color="000000"/>
                    <w:bottom w:val="single" w:sz="4" w:space="0" w:color="000000"/>
                    <w:right w:val="single" w:sz="4" w:space="0" w:color="000000"/>
                  </w:tcBorders>
                </w:tcPr>
                <w:p w14:paraId="4C60C329"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Model update</w:t>
                  </w:r>
                </w:p>
              </w:tc>
              <w:tc>
                <w:tcPr>
                  <w:tcW w:w="6345" w:type="dxa"/>
                  <w:tcBorders>
                    <w:top w:val="single" w:sz="4" w:space="0" w:color="000000"/>
                    <w:left w:val="single" w:sz="4" w:space="0" w:color="000000"/>
                    <w:bottom w:val="single" w:sz="4" w:space="0" w:color="000000"/>
                    <w:right w:val="single" w:sz="4" w:space="0" w:color="000000"/>
                  </w:tcBorders>
                </w:tcPr>
                <w:p w14:paraId="372BE5EB"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Process of updating the model parameters and/or model structure of a model</w:t>
                  </w:r>
                </w:p>
              </w:tc>
            </w:tr>
            <w:tr w:rsidR="00400E2E" w14:paraId="1B5228E3" w14:textId="77777777">
              <w:tc>
                <w:tcPr>
                  <w:tcW w:w="2184" w:type="dxa"/>
                  <w:tcBorders>
                    <w:top w:val="single" w:sz="4" w:space="0" w:color="000000"/>
                    <w:left w:val="single" w:sz="4" w:space="0" w:color="000000"/>
                    <w:bottom w:val="single" w:sz="4" w:space="0" w:color="000000"/>
                    <w:right w:val="single" w:sz="4" w:space="0" w:color="000000"/>
                  </w:tcBorders>
                </w:tcPr>
                <w:p w14:paraId="32B881DE"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Model parameter update</w:t>
                  </w:r>
                </w:p>
              </w:tc>
              <w:tc>
                <w:tcPr>
                  <w:tcW w:w="6345" w:type="dxa"/>
                  <w:tcBorders>
                    <w:top w:val="single" w:sz="4" w:space="0" w:color="000000"/>
                    <w:left w:val="single" w:sz="4" w:space="0" w:color="000000"/>
                    <w:bottom w:val="single" w:sz="4" w:space="0" w:color="000000"/>
                    <w:right w:val="single" w:sz="4" w:space="0" w:color="000000"/>
                  </w:tcBorders>
                </w:tcPr>
                <w:p w14:paraId="6B5AF411" w14:textId="77777777" w:rsidR="00400E2E" w:rsidRDefault="00000000">
                  <w:pPr>
                    <w:pStyle w:val="NormalWeb"/>
                    <w:spacing w:beforeAutospacing="0" w:afterAutospacing="0"/>
                    <w:rPr>
                      <w:rFonts w:eastAsiaTheme="minorEastAsia"/>
                    </w:rPr>
                  </w:pPr>
                  <w:r>
                    <w:rPr>
                      <w:rFonts w:ascii="Times" w:eastAsiaTheme="minorEastAsia" w:hAnsi="Times" w:cs="Times"/>
                      <w:color w:val="000000"/>
                      <w:sz w:val="20"/>
                      <w:szCs w:val="20"/>
                    </w:rPr>
                    <w:t>Process of updating the model parameters of a model</w:t>
                  </w:r>
                </w:p>
              </w:tc>
            </w:tr>
          </w:tbl>
          <w:p w14:paraId="39F757EB" w14:textId="77777777" w:rsidR="00400E2E" w:rsidRDefault="00400E2E">
            <w:pPr>
              <w:pStyle w:val="NormalWeb"/>
              <w:spacing w:beforeAutospacing="0" w:afterAutospacing="0"/>
              <w:ind w:left="360"/>
              <w:textAlignment w:val="baseline"/>
              <w:rPr>
                <w:rFonts w:ascii="Arial" w:hAnsi="Arial" w:cs="Arial"/>
                <w:color w:val="000000"/>
                <w:sz w:val="20"/>
                <w:szCs w:val="20"/>
              </w:rPr>
            </w:pPr>
          </w:p>
        </w:tc>
      </w:tr>
    </w:tbl>
    <w:p w14:paraId="40FD0431" w14:textId="77777777" w:rsidR="00400E2E" w:rsidRDefault="00400E2E">
      <w:pPr>
        <w:pStyle w:val="0Maintext"/>
        <w:spacing w:after="120" w:afterAutospacing="0" w:line="240" w:lineRule="auto"/>
        <w:ind w:firstLine="0"/>
        <w:rPr>
          <w:lang w:val="en-US"/>
        </w:rPr>
      </w:pPr>
    </w:p>
    <w:p w14:paraId="4596AF88" w14:textId="77777777" w:rsidR="00400E2E" w:rsidRDefault="00000000">
      <w:pPr>
        <w:pStyle w:val="Heading1"/>
        <w:numPr>
          <w:ilvl w:val="0"/>
          <w:numId w:val="2"/>
        </w:numPr>
      </w:pPr>
      <w:r>
        <w:t>Discussion</w:t>
      </w:r>
    </w:p>
    <w:p w14:paraId="40D8C52E" w14:textId="10D39BAF" w:rsidR="00400E2E" w:rsidRDefault="00000000">
      <w:pPr>
        <w:pStyle w:val="0Maintext"/>
        <w:spacing w:after="120" w:afterAutospacing="0" w:line="240" w:lineRule="auto"/>
        <w:ind w:firstLine="0"/>
        <w:rPr>
          <w:lang w:val="en-US"/>
        </w:rPr>
      </w:pPr>
      <w:r>
        <w:rPr>
          <w:lang w:val="en-US"/>
        </w:rPr>
        <w:t>In this contribution, we provide a discussion on the general aspects of AI/ML Frameworks</w:t>
      </w:r>
      <w:r w:rsidR="001440BC">
        <w:rPr>
          <w:lang w:val="en-US"/>
        </w:rPr>
        <w:t xml:space="preserve"> for Rel 18</w:t>
      </w:r>
      <w:r>
        <w:rPr>
          <w:lang w:val="en-US"/>
        </w:rPr>
        <w:t xml:space="preserve">. Specifically, this contribution focusses on expanding on prior agreements [1, 2, 3] related to model switching, UE capabilities as well as dataset generation. </w:t>
      </w:r>
    </w:p>
    <w:p w14:paraId="57114835" w14:textId="750C5C15" w:rsidR="00400E2E" w:rsidRDefault="00000000">
      <w:pPr>
        <w:jc w:val="both"/>
        <w:rPr>
          <w:b/>
          <w:bCs/>
          <w:i/>
          <w:iCs/>
          <w:sz w:val="20"/>
          <w:szCs w:val="20"/>
          <w:lang w:val="en-IN"/>
        </w:rPr>
      </w:pPr>
      <w:r>
        <w:rPr>
          <w:b/>
          <w:bCs/>
          <w:i/>
          <w:iCs/>
          <w:sz w:val="20"/>
          <w:szCs w:val="20"/>
          <w:lang w:val="en-IN"/>
        </w:rPr>
        <w:t xml:space="preserve">Proposal 1: </w:t>
      </w:r>
      <w:r w:rsidR="00660989">
        <w:rPr>
          <w:b/>
          <w:bCs/>
          <w:i/>
          <w:iCs/>
          <w:sz w:val="20"/>
          <w:szCs w:val="20"/>
          <w:lang w:val="en-IN"/>
        </w:rPr>
        <w:t>A s</w:t>
      </w:r>
      <w:r>
        <w:rPr>
          <w:b/>
          <w:bCs/>
          <w:i/>
          <w:iCs/>
          <w:sz w:val="20"/>
          <w:szCs w:val="20"/>
          <w:lang w:val="en-IN"/>
        </w:rPr>
        <w:t xml:space="preserve">tudy on </w:t>
      </w:r>
      <w:r w:rsidR="00660989">
        <w:rPr>
          <w:b/>
          <w:bCs/>
          <w:i/>
          <w:iCs/>
          <w:sz w:val="20"/>
          <w:szCs w:val="20"/>
          <w:lang w:val="en-IN"/>
        </w:rPr>
        <w:t>m</w:t>
      </w:r>
      <w:r>
        <w:rPr>
          <w:b/>
          <w:bCs/>
          <w:i/>
          <w:iCs/>
          <w:sz w:val="20"/>
          <w:szCs w:val="20"/>
          <w:lang w:val="en-IN"/>
        </w:rPr>
        <w:t xml:space="preserve">odel </w:t>
      </w:r>
      <w:r w:rsidR="00660989">
        <w:rPr>
          <w:b/>
          <w:bCs/>
          <w:i/>
          <w:iCs/>
          <w:sz w:val="20"/>
          <w:szCs w:val="20"/>
          <w:lang w:val="en-IN"/>
        </w:rPr>
        <w:t>s</w:t>
      </w:r>
      <w:r>
        <w:rPr>
          <w:b/>
          <w:bCs/>
          <w:i/>
          <w:iCs/>
          <w:sz w:val="20"/>
          <w:szCs w:val="20"/>
          <w:lang w:val="en-IN"/>
        </w:rPr>
        <w:t>witching</w:t>
      </w:r>
      <w:r w:rsidR="00660989">
        <w:rPr>
          <w:b/>
          <w:bCs/>
          <w:i/>
          <w:iCs/>
          <w:sz w:val="20"/>
          <w:szCs w:val="20"/>
          <w:lang w:val="en-IN"/>
        </w:rPr>
        <w:t xml:space="preserve"> scenarios and corresponding switching procedures should be considered. </w:t>
      </w:r>
    </w:p>
    <w:p w14:paraId="4D0BF291" w14:textId="77777777" w:rsidR="00400E2E" w:rsidRDefault="00000000">
      <w:pPr>
        <w:jc w:val="both"/>
        <w:rPr>
          <w:sz w:val="20"/>
          <w:szCs w:val="20"/>
          <w:lang w:val="en-IN"/>
        </w:rPr>
      </w:pPr>
      <w:r>
        <w:rPr>
          <w:sz w:val="20"/>
          <w:szCs w:val="20"/>
          <w:lang w:val="en-IN"/>
        </w:rPr>
        <w:t xml:space="preserve">In the application of AI/ML models to real-time wireless deployments, we envision the following two cases. </w:t>
      </w:r>
    </w:p>
    <w:p w14:paraId="5E65924B" w14:textId="77777777" w:rsidR="00400E2E" w:rsidRDefault="00400E2E">
      <w:pPr>
        <w:jc w:val="both"/>
        <w:rPr>
          <w:sz w:val="20"/>
          <w:szCs w:val="20"/>
          <w:lang w:val="en-IN"/>
        </w:rPr>
      </w:pPr>
    </w:p>
    <w:p w14:paraId="79AA3D7B" w14:textId="77777777" w:rsidR="00400E2E" w:rsidRDefault="00000000">
      <w:pPr>
        <w:pStyle w:val="ListParagraph"/>
        <w:numPr>
          <w:ilvl w:val="0"/>
          <w:numId w:val="8"/>
        </w:numPr>
        <w:jc w:val="both"/>
        <w:rPr>
          <w:sz w:val="20"/>
          <w:szCs w:val="20"/>
          <w:lang w:val="en-IN"/>
        </w:rPr>
      </w:pPr>
      <w:r>
        <w:rPr>
          <w:sz w:val="20"/>
          <w:szCs w:val="20"/>
          <w:lang w:val="en-IN"/>
        </w:rPr>
        <w:t>Case 1: A UE or NW will have multiple AI/ML models, one for each use-case</w:t>
      </w:r>
    </w:p>
    <w:p w14:paraId="130589A7" w14:textId="77777777" w:rsidR="00400E2E" w:rsidRDefault="00000000">
      <w:pPr>
        <w:pStyle w:val="ListParagraph"/>
        <w:numPr>
          <w:ilvl w:val="0"/>
          <w:numId w:val="8"/>
        </w:numPr>
        <w:jc w:val="both"/>
        <w:rPr>
          <w:sz w:val="20"/>
          <w:szCs w:val="20"/>
          <w:lang w:val="en-IN"/>
        </w:rPr>
      </w:pPr>
      <w:r>
        <w:rPr>
          <w:sz w:val="20"/>
          <w:szCs w:val="20"/>
          <w:lang w:val="en-IN"/>
        </w:rPr>
        <w:t>Case 2: Within the same use-case, a UE or NW will have multiple AI/ML models</w:t>
      </w:r>
    </w:p>
    <w:p w14:paraId="567E89C8" w14:textId="77777777" w:rsidR="00400E2E" w:rsidRDefault="00400E2E">
      <w:pPr>
        <w:jc w:val="both"/>
        <w:rPr>
          <w:sz w:val="20"/>
          <w:szCs w:val="20"/>
          <w:lang w:val="en-IN"/>
        </w:rPr>
      </w:pPr>
    </w:p>
    <w:p w14:paraId="4F78ADC0" w14:textId="77777777" w:rsidR="00400E2E" w:rsidRDefault="00000000">
      <w:pPr>
        <w:jc w:val="both"/>
        <w:rPr>
          <w:sz w:val="20"/>
          <w:szCs w:val="20"/>
          <w:lang w:val="en-IN"/>
        </w:rPr>
      </w:pPr>
      <w:r>
        <w:rPr>
          <w:sz w:val="20"/>
          <w:szCs w:val="20"/>
          <w:lang w:val="en-IN"/>
        </w:rPr>
        <w:t xml:space="preserve">Case 1 comes from the fact that clearly the same AI/ML model cannot support, for example, both CSI compression and positioning estimation. Case 2 comes from the fact that even within the same use case, different wireless deployment scenarios will exhibit different characteristics that have to be learnt by the model. Multiple AI/ML models will be better equipped to extract the scenario specific features than a single AI/ML model. </w:t>
      </w:r>
    </w:p>
    <w:p w14:paraId="63AE6E66" w14:textId="77777777" w:rsidR="00400E2E" w:rsidRDefault="00400E2E">
      <w:pPr>
        <w:jc w:val="both"/>
        <w:rPr>
          <w:sz w:val="20"/>
          <w:szCs w:val="20"/>
          <w:lang w:val="en-IN"/>
        </w:rPr>
      </w:pPr>
    </w:p>
    <w:p w14:paraId="35CE1C1E" w14:textId="77777777" w:rsidR="00400E2E" w:rsidRDefault="00000000">
      <w:pPr>
        <w:jc w:val="both"/>
        <w:rPr>
          <w:sz w:val="20"/>
          <w:szCs w:val="20"/>
          <w:lang w:val="en-IN"/>
        </w:rPr>
      </w:pPr>
      <w:r>
        <w:rPr>
          <w:sz w:val="20"/>
          <w:szCs w:val="20"/>
          <w:lang w:val="en-IN"/>
        </w:rPr>
        <w:t>We believe that it would be beneficial to have multiple AI/ML models. A study is required to investigate the switching between these multiple AI/ML models. The study should determine procedures for the following:</w:t>
      </w:r>
    </w:p>
    <w:p w14:paraId="3F19754D" w14:textId="77777777" w:rsidR="00400E2E" w:rsidRDefault="00400E2E">
      <w:pPr>
        <w:jc w:val="both"/>
        <w:rPr>
          <w:sz w:val="20"/>
          <w:szCs w:val="20"/>
          <w:lang w:val="en-IN"/>
        </w:rPr>
      </w:pPr>
    </w:p>
    <w:p w14:paraId="4EB5F2F9" w14:textId="77777777" w:rsidR="00400E2E" w:rsidRDefault="00000000">
      <w:pPr>
        <w:pStyle w:val="ListParagraph"/>
        <w:numPr>
          <w:ilvl w:val="0"/>
          <w:numId w:val="7"/>
        </w:numPr>
        <w:jc w:val="both"/>
        <w:rPr>
          <w:sz w:val="20"/>
          <w:szCs w:val="20"/>
          <w:lang w:val="en-IN"/>
        </w:rPr>
      </w:pPr>
      <w:r>
        <w:rPr>
          <w:sz w:val="20"/>
          <w:szCs w:val="20"/>
          <w:lang w:val="en-IN"/>
        </w:rPr>
        <w:t xml:space="preserve">Step 1: When a current AI/ML model is no longer applicable </w:t>
      </w:r>
    </w:p>
    <w:p w14:paraId="353718CB" w14:textId="77777777" w:rsidR="00400E2E" w:rsidRDefault="00000000">
      <w:pPr>
        <w:pStyle w:val="ListParagraph"/>
        <w:numPr>
          <w:ilvl w:val="0"/>
          <w:numId w:val="7"/>
        </w:numPr>
        <w:jc w:val="both"/>
        <w:rPr>
          <w:sz w:val="20"/>
          <w:szCs w:val="20"/>
          <w:lang w:val="en-IN"/>
        </w:rPr>
      </w:pPr>
      <w:r>
        <w:rPr>
          <w:sz w:val="20"/>
          <w:szCs w:val="20"/>
          <w:lang w:val="en-IN"/>
        </w:rPr>
        <w:t>Step 2: Signalling to request AI/ML model switching</w:t>
      </w:r>
    </w:p>
    <w:p w14:paraId="1DBEF186" w14:textId="77777777" w:rsidR="00400E2E" w:rsidRDefault="00000000">
      <w:pPr>
        <w:pStyle w:val="ListParagraph"/>
        <w:numPr>
          <w:ilvl w:val="0"/>
          <w:numId w:val="7"/>
        </w:numPr>
        <w:jc w:val="both"/>
        <w:rPr>
          <w:sz w:val="20"/>
          <w:szCs w:val="20"/>
          <w:lang w:val="en-IN"/>
        </w:rPr>
      </w:pPr>
      <w:r>
        <w:rPr>
          <w:sz w:val="20"/>
          <w:szCs w:val="20"/>
          <w:lang w:val="en-IN"/>
        </w:rPr>
        <w:t>Step 3: Signalling to indicate AI/ML model switch</w:t>
      </w:r>
    </w:p>
    <w:p w14:paraId="414469FC" w14:textId="77777777" w:rsidR="00400E2E" w:rsidRDefault="00000000">
      <w:pPr>
        <w:pStyle w:val="ListParagraph"/>
        <w:numPr>
          <w:ilvl w:val="0"/>
          <w:numId w:val="7"/>
        </w:numPr>
        <w:jc w:val="both"/>
        <w:rPr>
          <w:sz w:val="20"/>
          <w:szCs w:val="20"/>
          <w:lang w:val="en-IN"/>
        </w:rPr>
      </w:pPr>
      <w:r>
        <w:rPr>
          <w:sz w:val="20"/>
          <w:szCs w:val="20"/>
          <w:lang w:val="en-IN"/>
        </w:rPr>
        <w:t>Step 4: Report new AI/ML model configuration/parameters</w:t>
      </w:r>
    </w:p>
    <w:p w14:paraId="78A2CD3F" w14:textId="77777777" w:rsidR="00400E2E" w:rsidRDefault="00400E2E">
      <w:pPr>
        <w:jc w:val="both"/>
        <w:rPr>
          <w:sz w:val="20"/>
          <w:szCs w:val="20"/>
          <w:lang w:val="en-IN"/>
        </w:rPr>
      </w:pPr>
    </w:p>
    <w:p w14:paraId="18A8EEE3" w14:textId="77777777" w:rsidR="00400E2E" w:rsidRDefault="00000000">
      <w:pPr>
        <w:jc w:val="both"/>
        <w:rPr>
          <w:sz w:val="20"/>
          <w:szCs w:val="20"/>
          <w:lang w:val="en-IN"/>
        </w:rPr>
      </w:pPr>
      <w:r>
        <w:rPr>
          <w:sz w:val="20"/>
          <w:szCs w:val="20"/>
          <w:lang w:val="en-IN"/>
        </w:rPr>
        <w:t xml:space="preserve">Step 1 also includes the identification of criteria based on which models are switched. This includes identification of both use-case based switch or scenario based switch. An alternative outcome of Step 1 could be that switching needs to occur from an AI/ML model back to a non-AI/ML model. In this case, steps 2, 3 and 4 will adapt accordingly. </w:t>
      </w:r>
    </w:p>
    <w:p w14:paraId="23E13DD4" w14:textId="77777777" w:rsidR="00400E2E" w:rsidRDefault="00400E2E">
      <w:pPr>
        <w:rPr>
          <w:sz w:val="20"/>
          <w:szCs w:val="20"/>
          <w:lang w:val="en-IN"/>
        </w:rPr>
      </w:pPr>
    </w:p>
    <w:p w14:paraId="130DACCF" w14:textId="5B4814BF" w:rsidR="00400E2E" w:rsidRDefault="00000000">
      <w:pPr>
        <w:jc w:val="both"/>
        <w:rPr>
          <w:sz w:val="20"/>
          <w:szCs w:val="20"/>
          <w:lang w:val="en-IN"/>
        </w:rPr>
      </w:pPr>
      <w:r>
        <w:rPr>
          <w:b/>
          <w:bCs/>
          <w:i/>
          <w:iCs/>
          <w:sz w:val="20"/>
          <w:szCs w:val="20"/>
          <w:lang w:val="en-IN"/>
        </w:rPr>
        <w:t xml:space="preserve">Proposal 2: </w:t>
      </w:r>
      <w:r w:rsidR="00660989">
        <w:rPr>
          <w:b/>
          <w:bCs/>
          <w:i/>
          <w:iCs/>
          <w:sz w:val="20"/>
          <w:szCs w:val="20"/>
          <w:lang w:val="en-IN"/>
        </w:rPr>
        <w:t>A s</w:t>
      </w:r>
      <w:r>
        <w:rPr>
          <w:b/>
          <w:bCs/>
          <w:i/>
          <w:iCs/>
          <w:sz w:val="20"/>
          <w:szCs w:val="20"/>
          <w:lang w:val="en-IN"/>
        </w:rPr>
        <w:t xml:space="preserve">tudy </w:t>
      </w:r>
      <w:r w:rsidR="00660989">
        <w:rPr>
          <w:b/>
          <w:bCs/>
          <w:i/>
          <w:iCs/>
          <w:sz w:val="20"/>
          <w:szCs w:val="20"/>
          <w:lang w:val="en-IN"/>
        </w:rPr>
        <w:t>should be considered to determine</w:t>
      </w:r>
      <w:r>
        <w:rPr>
          <w:b/>
          <w:bCs/>
          <w:i/>
          <w:iCs/>
          <w:sz w:val="20"/>
          <w:szCs w:val="20"/>
          <w:lang w:val="en-IN"/>
        </w:rPr>
        <w:t xml:space="preserve"> </w:t>
      </w:r>
      <w:r w:rsidR="00660989">
        <w:rPr>
          <w:b/>
          <w:bCs/>
          <w:i/>
          <w:iCs/>
          <w:sz w:val="20"/>
          <w:szCs w:val="20"/>
          <w:lang w:val="en-IN"/>
        </w:rPr>
        <w:t>procedures for the s</w:t>
      </w:r>
      <w:r>
        <w:rPr>
          <w:b/>
          <w:bCs/>
          <w:i/>
          <w:iCs/>
          <w:sz w:val="20"/>
          <w:szCs w:val="20"/>
          <w:lang w:val="en-IN"/>
        </w:rPr>
        <w:t>ignalling of UE capabilities</w:t>
      </w:r>
      <w:r w:rsidR="00DC0E0F">
        <w:rPr>
          <w:b/>
          <w:bCs/>
          <w:i/>
          <w:iCs/>
          <w:sz w:val="20"/>
          <w:szCs w:val="20"/>
          <w:lang w:val="en-IN"/>
        </w:rPr>
        <w:t>,</w:t>
      </w:r>
      <w:r w:rsidR="00F63009">
        <w:rPr>
          <w:b/>
          <w:bCs/>
          <w:i/>
          <w:iCs/>
          <w:sz w:val="20"/>
          <w:szCs w:val="20"/>
          <w:lang w:val="en-IN"/>
        </w:rPr>
        <w:t xml:space="preserve"> specific to AI/ML</w:t>
      </w:r>
      <w:r w:rsidR="009B7C71">
        <w:rPr>
          <w:b/>
          <w:bCs/>
          <w:i/>
          <w:iCs/>
          <w:sz w:val="20"/>
          <w:szCs w:val="20"/>
          <w:lang w:val="en-IN"/>
        </w:rPr>
        <w:t>.</w:t>
      </w:r>
      <w:r>
        <w:rPr>
          <w:sz w:val="20"/>
          <w:szCs w:val="20"/>
          <w:lang w:val="en-IN"/>
        </w:rPr>
        <w:t xml:space="preserve"> </w:t>
      </w:r>
    </w:p>
    <w:p w14:paraId="0EAB3CEC" w14:textId="77777777" w:rsidR="00400E2E" w:rsidRDefault="00000000">
      <w:pPr>
        <w:jc w:val="both"/>
        <w:rPr>
          <w:sz w:val="20"/>
          <w:szCs w:val="20"/>
          <w:lang w:val="en-IN"/>
        </w:rPr>
      </w:pPr>
      <w:r>
        <w:rPr>
          <w:sz w:val="20"/>
          <w:szCs w:val="20"/>
          <w:lang w:val="en-IN"/>
        </w:rPr>
        <w:t xml:space="preserve">We believe that any AI/ML framework should take into account, the UE capabilities such as memory, compute power (existence of GPUs, NPUs etc), power consumption etc. We propose a study to determine signalling procedures to report AI/ML-specific UE capabilities. </w:t>
      </w:r>
    </w:p>
    <w:p w14:paraId="5A4CD44B" w14:textId="77777777" w:rsidR="00400E2E" w:rsidRDefault="00400E2E">
      <w:pPr>
        <w:rPr>
          <w:sz w:val="20"/>
          <w:szCs w:val="20"/>
          <w:lang w:val="en-IN"/>
        </w:rPr>
      </w:pPr>
    </w:p>
    <w:p w14:paraId="507921AE" w14:textId="15674AF0" w:rsidR="00400E2E" w:rsidRDefault="00000000">
      <w:pPr>
        <w:jc w:val="both"/>
        <w:rPr>
          <w:b/>
          <w:bCs/>
          <w:i/>
          <w:iCs/>
          <w:sz w:val="20"/>
          <w:szCs w:val="20"/>
          <w:lang w:val="en-IN"/>
        </w:rPr>
      </w:pPr>
      <w:r>
        <w:rPr>
          <w:b/>
          <w:bCs/>
          <w:i/>
          <w:iCs/>
          <w:sz w:val="20"/>
          <w:szCs w:val="20"/>
          <w:lang w:val="en-IN"/>
        </w:rPr>
        <w:t xml:space="preserve">Proposal 3: </w:t>
      </w:r>
      <w:r w:rsidR="007F13EB">
        <w:rPr>
          <w:b/>
          <w:bCs/>
          <w:i/>
          <w:iCs/>
          <w:sz w:val="20"/>
          <w:szCs w:val="20"/>
          <w:lang w:val="en-IN"/>
        </w:rPr>
        <w:t>A s</w:t>
      </w:r>
      <w:r>
        <w:rPr>
          <w:b/>
          <w:bCs/>
          <w:i/>
          <w:iCs/>
          <w:sz w:val="20"/>
          <w:szCs w:val="20"/>
          <w:lang w:val="en-IN"/>
        </w:rPr>
        <w:t xml:space="preserve">tudy on </w:t>
      </w:r>
      <w:r w:rsidR="00686030">
        <w:rPr>
          <w:b/>
          <w:bCs/>
          <w:i/>
          <w:iCs/>
          <w:sz w:val="20"/>
          <w:szCs w:val="20"/>
          <w:lang w:val="en-IN"/>
        </w:rPr>
        <w:t xml:space="preserve">generating and </w:t>
      </w:r>
      <w:r>
        <w:rPr>
          <w:b/>
          <w:bCs/>
          <w:i/>
          <w:iCs/>
          <w:sz w:val="20"/>
          <w:szCs w:val="20"/>
          <w:lang w:val="en-IN"/>
        </w:rPr>
        <w:t>including field data</w:t>
      </w:r>
      <w:r w:rsidR="00686030">
        <w:rPr>
          <w:b/>
          <w:bCs/>
          <w:i/>
          <w:iCs/>
          <w:sz w:val="20"/>
          <w:szCs w:val="20"/>
          <w:lang w:val="en-IN"/>
        </w:rPr>
        <w:t>sets</w:t>
      </w:r>
      <w:r>
        <w:rPr>
          <w:b/>
          <w:bCs/>
          <w:i/>
          <w:iCs/>
          <w:sz w:val="20"/>
          <w:szCs w:val="20"/>
          <w:lang w:val="en-IN"/>
        </w:rPr>
        <w:t xml:space="preserve"> </w:t>
      </w:r>
      <w:r w:rsidR="00907EF3">
        <w:rPr>
          <w:b/>
          <w:bCs/>
          <w:i/>
          <w:iCs/>
          <w:sz w:val="20"/>
          <w:szCs w:val="20"/>
          <w:lang w:val="en-IN"/>
        </w:rPr>
        <w:t>for</w:t>
      </w:r>
      <w:r>
        <w:rPr>
          <w:b/>
          <w:bCs/>
          <w:i/>
          <w:iCs/>
          <w:sz w:val="20"/>
          <w:szCs w:val="20"/>
          <w:lang w:val="en-IN"/>
        </w:rPr>
        <w:t xml:space="preserve"> training and testing </w:t>
      </w:r>
      <w:r w:rsidR="007F13EB">
        <w:rPr>
          <w:b/>
          <w:bCs/>
          <w:i/>
          <w:iCs/>
          <w:sz w:val="20"/>
          <w:szCs w:val="20"/>
          <w:lang w:val="en-IN"/>
        </w:rPr>
        <w:t>is necessary.</w:t>
      </w:r>
    </w:p>
    <w:p w14:paraId="520DE148" w14:textId="77777777" w:rsidR="00400E2E" w:rsidRDefault="00000000">
      <w:pPr>
        <w:jc w:val="both"/>
        <w:rPr>
          <w:sz w:val="20"/>
          <w:szCs w:val="20"/>
          <w:lang w:val="en-IN"/>
        </w:rPr>
      </w:pPr>
      <w:r>
        <w:rPr>
          <w:sz w:val="20"/>
          <w:szCs w:val="20"/>
          <w:lang w:val="en-IN"/>
        </w:rPr>
        <w:t xml:space="preserve">Simulations are a fast and efficient way to get started with AI/ML model training and testing. However, it is our understanding that training and testing data obtained purely from software simulations may not be sufficient to encompass all the characteristics of various scenarios and impairments. Therefore, we recommend the inclusion of field data, captured from real-time over-the-air sources. The study should also determine the amount of field data to be included in the training and testing i.e., the ratio of simulated data to field data. </w:t>
      </w:r>
    </w:p>
    <w:p w14:paraId="79887586" w14:textId="77777777" w:rsidR="00400E2E" w:rsidRDefault="00400E2E">
      <w:pPr>
        <w:rPr>
          <w:sz w:val="20"/>
          <w:szCs w:val="20"/>
          <w:lang w:val="en-IN"/>
        </w:rPr>
      </w:pPr>
    </w:p>
    <w:p w14:paraId="031184E1" w14:textId="77777777" w:rsidR="00400E2E" w:rsidRDefault="00400E2E">
      <w:pPr>
        <w:rPr>
          <w:sz w:val="20"/>
          <w:szCs w:val="20"/>
          <w:lang w:val="en-IN"/>
        </w:rPr>
      </w:pPr>
    </w:p>
    <w:p w14:paraId="52234E21" w14:textId="77777777" w:rsidR="00400E2E" w:rsidRDefault="00400E2E">
      <w:pPr>
        <w:rPr>
          <w:sz w:val="20"/>
          <w:szCs w:val="20"/>
          <w:lang w:val="en-IN"/>
        </w:rPr>
      </w:pPr>
    </w:p>
    <w:p w14:paraId="2F793024" w14:textId="77777777" w:rsidR="00400E2E" w:rsidRDefault="00400E2E">
      <w:pPr>
        <w:rPr>
          <w:sz w:val="20"/>
          <w:szCs w:val="20"/>
          <w:lang w:val="en-IN"/>
        </w:rPr>
      </w:pPr>
    </w:p>
    <w:p w14:paraId="5738B1FD" w14:textId="77777777" w:rsidR="00400E2E" w:rsidRDefault="00400E2E"/>
    <w:p w14:paraId="351119BE" w14:textId="77777777" w:rsidR="00400E2E" w:rsidRDefault="00400E2E"/>
    <w:p w14:paraId="6C1557E6" w14:textId="77777777" w:rsidR="00400E2E" w:rsidRDefault="00000000">
      <w:pPr>
        <w:pStyle w:val="Heading1"/>
        <w:numPr>
          <w:ilvl w:val="0"/>
          <w:numId w:val="2"/>
        </w:numPr>
      </w:pPr>
      <w:r>
        <w:lastRenderedPageBreak/>
        <w:t>Conclusion</w:t>
      </w:r>
    </w:p>
    <w:p w14:paraId="09DA1682" w14:textId="743F660B" w:rsidR="00400E2E" w:rsidRDefault="00000000">
      <w:pPr>
        <w:pStyle w:val="0Maintext"/>
        <w:spacing w:after="120" w:afterAutospacing="0" w:line="240" w:lineRule="auto"/>
        <w:ind w:firstLine="0"/>
        <w:rPr>
          <w:lang w:val="en-US" w:eastAsia="zh-CN"/>
        </w:rPr>
      </w:pPr>
      <w:r>
        <w:rPr>
          <w:lang w:val="en-US" w:eastAsia="zh-CN"/>
        </w:rPr>
        <w:t>In this contribution, we provided a discussion on the general aspects of AI/ML framework</w:t>
      </w:r>
      <w:r w:rsidR="00386714">
        <w:rPr>
          <w:lang w:val="en-US" w:eastAsia="zh-CN"/>
        </w:rPr>
        <w:t xml:space="preserve"> for Rel 18</w:t>
      </w:r>
      <w:r>
        <w:rPr>
          <w:lang w:val="en-US" w:eastAsia="zh-CN"/>
        </w:rPr>
        <w:t xml:space="preserve">. The discussion has resulted in the following proposals.  </w:t>
      </w:r>
    </w:p>
    <w:p w14:paraId="18AE9339" w14:textId="77777777" w:rsidR="009B7C71" w:rsidRDefault="009B7C71" w:rsidP="009B7C71">
      <w:pPr>
        <w:jc w:val="both"/>
        <w:rPr>
          <w:b/>
          <w:bCs/>
          <w:i/>
          <w:iCs/>
          <w:sz w:val="20"/>
          <w:szCs w:val="20"/>
          <w:lang w:val="en-IN"/>
        </w:rPr>
      </w:pPr>
      <w:r>
        <w:rPr>
          <w:b/>
          <w:bCs/>
          <w:i/>
          <w:iCs/>
          <w:sz w:val="20"/>
          <w:szCs w:val="20"/>
          <w:lang w:val="en-IN"/>
        </w:rPr>
        <w:t xml:space="preserve">Proposal 1: A study on model switching scenarios and corresponding switching procedures should be considered. </w:t>
      </w:r>
    </w:p>
    <w:p w14:paraId="24FF1ABC" w14:textId="000858EC" w:rsidR="009B7C71" w:rsidRDefault="009B7C71" w:rsidP="009B7C71">
      <w:pPr>
        <w:jc w:val="both"/>
        <w:rPr>
          <w:sz w:val="20"/>
          <w:szCs w:val="20"/>
          <w:lang w:val="en-IN"/>
        </w:rPr>
      </w:pPr>
      <w:r>
        <w:rPr>
          <w:b/>
          <w:bCs/>
          <w:i/>
          <w:iCs/>
          <w:sz w:val="20"/>
          <w:szCs w:val="20"/>
          <w:lang w:val="en-IN"/>
        </w:rPr>
        <w:t>Proposal 2: A study should be considered to determine procedures for the signalling of UE capabilities</w:t>
      </w:r>
      <w:r w:rsidR="00DC0E0F">
        <w:rPr>
          <w:b/>
          <w:bCs/>
          <w:i/>
          <w:iCs/>
          <w:sz w:val="20"/>
          <w:szCs w:val="20"/>
          <w:lang w:val="en-IN"/>
        </w:rPr>
        <w:t>,</w:t>
      </w:r>
      <w:r>
        <w:rPr>
          <w:b/>
          <w:bCs/>
          <w:i/>
          <w:iCs/>
          <w:sz w:val="20"/>
          <w:szCs w:val="20"/>
          <w:lang w:val="en-IN"/>
        </w:rPr>
        <w:t xml:space="preserve"> specific to AI/ML.</w:t>
      </w:r>
      <w:r>
        <w:rPr>
          <w:sz w:val="20"/>
          <w:szCs w:val="20"/>
          <w:lang w:val="en-IN"/>
        </w:rPr>
        <w:t xml:space="preserve"> </w:t>
      </w:r>
    </w:p>
    <w:p w14:paraId="20E00DBC" w14:textId="0756D43D" w:rsidR="00400E2E" w:rsidRPr="00D06824" w:rsidRDefault="009B7C71" w:rsidP="00D06824">
      <w:pPr>
        <w:jc w:val="both"/>
        <w:rPr>
          <w:b/>
          <w:bCs/>
          <w:i/>
          <w:iCs/>
          <w:sz w:val="20"/>
          <w:szCs w:val="20"/>
          <w:lang w:val="en-IN"/>
        </w:rPr>
      </w:pPr>
      <w:r>
        <w:rPr>
          <w:b/>
          <w:bCs/>
          <w:i/>
          <w:iCs/>
          <w:sz w:val="20"/>
          <w:szCs w:val="20"/>
          <w:lang w:val="en-IN"/>
        </w:rPr>
        <w:t>Proposal 3: A study on generating and including field datasets for training and testing is necessary.</w:t>
      </w:r>
    </w:p>
    <w:p w14:paraId="4E7BB34C" w14:textId="77777777" w:rsidR="00400E2E" w:rsidRDefault="00000000">
      <w:pPr>
        <w:pStyle w:val="Heading1"/>
        <w:numPr>
          <w:ilvl w:val="0"/>
          <w:numId w:val="2"/>
        </w:numPr>
      </w:pPr>
      <w:r>
        <w:t>References</w:t>
      </w:r>
    </w:p>
    <w:p w14:paraId="7A9A47D1" w14:textId="77777777" w:rsidR="00400E2E" w:rsidRDefault="00000000">
      <w:pPr>
        <w:pStyle w:val="NormalWeb"/>
        <w:spacing w:beforeAutospacing="0" w:after="120" w:afterAutospacing="0"/>
        <w:jc w:val="both"/>
        <w:textAlignment w:val="baseline"/>
        <w:rPr>
          <w:color w:val="000000"/>
          <w:sz w:val="20"/>
          <w:szCs w:val="20"/>
        </w:rPr>
      </w:pPr>
      <w:r>
        <w:rPr>
          <w:color w:val="000000"/>
          <w:sz w:val="20"/>
          <w:szCs w:val="20"/>
        </w:rPr>
        <w:t>[1] Chair’s Notes, RAN1 #111, November 2022</w:t>
      </w:r>
    </w:p>
    <w:p w14:paraId="0BC21BA2" w14:textId="77777777" w:rsidR="00400E2E" w:rsidRDefault="00000000">
      <w:pPr>
        <w:pStyle w:val="NormalWeb"/>
        <w:spacing w:beforeAutospacing="0" w:after="120" w:afterAutospacing="0"/>
        <w:jc w:val="both"/>
        <w:textAlignment w:val="baseline"/>
        <w:rPr>
          <w:color w:val="000000"/>
          <w:sz w:val="20"/>
          <w:szCs w:val="20"/>
        </w:rPr>
      </w:pPr>
      <w:r>
        <w:rPr>
          <w:color w:val="000000"/>
          <w:sz w:val="20"/>
          <w:szCs w:val="20"/>
        </w:rPr>
        <w:t>[2] Chair’s Notes, RAN1 #110, August 2022</w:t>
      </w:r>
    </w:p>
    <w:p w14:paraId="30AACF53" w14:textId="77777777" w:rsidR="00400E2E" w:rsidRDefault="00000000">
      <w:pPr>
        <w:pStyle w:val="NormalWeb"/>
        <w:spacing w:beforeAutospacing="0" w:after="120" w:afterAutospacing="0"/>
        <w:jc w:val="both"/>
        <w:textAlignment w:val="baseline"/>
        <w:rPr>
          <w:color w:val="000000"/>
          <w:sz w:val="20"/>
          <w:szCs w:val="20"/>
        </w:rPr>
      </w:pPr>
      <w:r>
        <w:rPr>
          <w:color w:val="000000"/>
          <w:sz w:val="20"/>
          <w:szCs w:val="20"/>
        </w:rPr>
        <w:t>[3] Chair’s Notes, RAN1 #109-e, May 2022</w:t>
      </w:r>
    </w:p>
    <w:p w14:paraId="23E062D8" w14:textId="77777777" w:rsidR="00400E2E" w:rsidRDefault="00400E2E">
      <w:pPr>
        <w:rPr>
          <w:sz w:val="20"/>
          <w:szCs w:val="20"/>
        </w:rPr>
      </w:pPr>
    </w:p>
    <w:p w14:paraId="723CBB14" w14:textId="77777777" w:rsidR="00400E2E" w:rsidRDefault="00400E2E"/>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1"/>
    <w:family w:val="roman"/>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603295897">
    <w:abstractNumId w:val="4"/>
  </w:num>
  <w:num w:numId="2" w16cid:durableId="1465150905">
    <w:abstractNumId w:val="6"/>
  </w:num>
  <w:num w:numId="3" w16cid:durableId="510922458">
    <w:abstractNumId w:val="7"/>
  </w:num>
  <w:num w:numId="4" w16cid:durableId="1059745822">
    <w:abstractNumId w:val="2"/>
  </w:num>
  <w:num w:numId="5" w16cid:durableId="572357860">
    <w:abstractNumId w:val="0"/>
  </w:num>
  <w:num w:numId="6" w16cid:durableId="1389650435">
    <w:abstractNumId w:val="5"/>
  </w:num>
  <w:num w:numId="7" w16cid:durableId="520706498">
    <w:abstractNumId w:val="1"/>
  </w:num>
  <w:num w:numId="8" w16cid:durableId="1997487217">
    <w:abstractNumId w:val="3"/>
  </w:num>
  <w:num w:numId="9" w16cid:durableId="348213877">
    <w:abstractNumId w:val="7"/>
  </w:num>
  <w:num w:numId="10" w16cid:durableId="12437607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1440BC"/>
    <w:rsid w:val="00386714"/>
    <w:rsid w:val="00400E2E"/>
    <w:rsid w:val="00527970"/>
    <w:rsid w:val="00660989"/>
    <w:rsid w:val="00686030"/>
    <w:rsid w:val="007F13EB"/>
    <w:rsid w:val="00907EF3"/>
    <w:rsid w:val="009B7C71"/>
    <w:rsid w:val="00AE1C92"/>
    <w:rsid w:val="00D06824"/>
    <w:rsid w:val="00DB4B42"/>
    <w:rsid w:val="00DC0E0F"/>
    <w:rsid w:val="00F63009"/>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659"/>
    <w:rPr>
      <w:rFonts w:ascii="Times New Roman" w:eastAsia="Times New Roman" w:hAnsi="Times New Roman" w:cs="Times New Roman"/>
      <w:lang w:val="en-US" w:eastAsia="zh-CN"/>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rPr>
      <w:lang w:val="en-IN" w:eastAsia="en-GB"/>
    </w:rPr>
  </w:style>
  <w:style w:type="paragraph" w:styleId="ListParagraph">
    <w:name w:val="List Paragraph"/>
    <w:basedOn w:val="Normal"/>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2</cp:revision>
  <dcterms:created xsi:type="dcterms:W3CDTF">2023-02-17T10:43:00Z</dcterms:created>
  <dcterms:modified xsi:type="dcterms:W3CDTF">2023-02-17T10:43:00Z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